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:rsidTr="00E97024">
        <w:tc>
          <w:tcPr>
            <w:tcW w:w="3715" w:type="dxa"/>
          </w:tcPr>
          <w:p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B87695" w:rsidRPr="002B356C" w:rsidRDefault="002B356C" w:rsidP="00FB2FDD">
            <w:pPr>
              <w:rPr>
                <w:rFonts w:ascii="Arial" w:hAnsi="Arial" w:cs="Arial"/>
              </w:rPr>
            </w:pPr>
            <w:r w:rsidRPr="002B356C">
              <w:rPr>
                <w:rFonts w:ascii="Arial" w:hAnsi="Arial" w:cs="Arial"/>
              </w:rPr>
              <w:t xml:space="preserve">Award of Key Service Contract for </w:t>
            </w:r>
            <w:r w:rsidR="00FB2FDD">
              <w:rPr>
                <w:rFonts w:ascii="Arial" w:hAnsi="Arial" w:cs="Arial"/>
              </w:rPr>
              <w:t>Legionella Prevention and Control</w:t>
            </w:r>
          </w:p>
        </w:tc>
      </w:tr>
      <w:tr w:rsidR="006F6326" w:rsidTr="00E97024">
        <w:tc>
          <w:tcPr>
            <w:tcW w:w="3715" w:type="dxa"/>
          </w:tcPr>
          <w:p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:rsidR="00263039" w:rsidRPr="00A96C08" w:rsidRDefault="00947F3B" w:rsidP="00947F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r w:rsidR="00C158FD">
              <w:rPr>
                <w:rFonts w:ascii="Arial" w:hAnsi="Arial" w:cs="Arial"/>
              </w:rPr>
              <w:t>February</w:t>
            </w:r>
            <w:r w:rsidR="00DE3565">
              <w:rPr>
                <w:rFonts w:ascii="Arial" w:hAnsi="Arial" w:cs="Arial"/>
              </w:rPr>
              <w:t xml:space="preserve"> 2022</w:t>
            </w:r>
          </w:p>
        </w:tc>
      </w:tr>
      <w:tr w:rsidR="00854133" w:rsidTr="00E97024">
        <w:tc>
          <w:tcPr>
            <w:tcW w:w="3715" w:type="dxa"/>
          </w:tcPr>
          <w:p w:rsidR="00854133" w:rsidRPr="00854133" w:rsidRDefault="00854133" w:rsidP="000315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Source of delegation: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:rsidR="00E97024" w:rsidRDefault="002B356C" w:rsidP="00E97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Cabinet on 9 December 2020 resolved to:</w:t>
            </w:r>
          </w:p>
          <w:p w:rsidR="002B356C" w:rsidRDefault="002B356C" w:rsidP="00E97024">
            <w:pPr>
              <w:rPr>
                <w:rFonts w:ascii="Arial" w:hAnsi="Arial" w:cs="Arial"/>
              </w:rPr>
            </w:pPr>
          </w:p>
          <w:p w:rsidR="002B356C" w:rsidRDefault="002B356C" w:rsidP="00E97024">
            <w:pPr>
              <w:rPr>
                <w:rFonts w:ascii="Arial" w:hAnsi="Arial" w:cs="Arial"/>
              </w:rPr>
            </w:pPr>
            <w:r w:rsidRPr="002B356C">
              <w:rPr>
                <w:rFonts w:ascii="Arial" w:hAnsi="Arial" w:cs="Arial"/>
              </w:rPr>
              <w:t xml:space="preserve">Delegate authority to the Executive Director of Housing, after consultation with the Monitoring Officer and the s151 Officer, to award the </w:t>
            </w:r>
            <w:r w:rsidR="0006418F">
              <w:rPr>
                <w:rFonts w:ascii="Arial" w:hAnsi="Arial" w:cs="Arial"/>
              </w:rPr>
              <w:t>Legionella Control</w:t>
            </w:r>
            <w:r w:rsidRPr="002B356C">
              <w:rPr>
                <w:rFonts w:ascii="Arial" w:hAnsi="Arial" w:cs="Arial"/>
              </w:rPr>
              <w:t xml:space="preserve"> Services contract to the successful supplier(s) following completion of a tender process und</w:t>
            </w:r>
            <w:r>
              <w:rPr>
                <w:rFonts w:ascii="Arial" w:hAnsi="Arial" w:cs="Arial"/>
              </w:rPr>
              <w:t xml:space="preserve">ertaken in accordance with the </w:t>
            </w:r>
            <w:r w:rsidRPr="002B356C">
              <w:rPr>
                <w:rFonts w:ascii="Arial" w:hAnsi="Arial" w:cs="Arial"/>
              </w:rPr>
              <w:t>Public Contracts Regulations 2015.</w:t>
            </w:r>
          </w:p>
          <w:p w:rsidR="002B356C" w:rsidRDefault="002B356C" w:rsidP="00E97024">
            <w:pPr>
              <w:rPr>
                <w:rFonts w:ascii="Arial" w:hAnsi="Arial" w:cs="Arial"/>
              </w:rPr>
            </w:pPr>
          </w:p>
          <w:p w:rsidR="002B356C" w:rsidRPr="002B356C" w:rsidRDefault="002B356C" w:rsidP="00E970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delegation is now the responsibility of the Executive Director of Communities and People.</w:t>
            </w:r>
          </w:p>
        </w:tc>
      </w:tr>
      <w:tr w:rsidR="00B87695" w:rsidTr="00E97024">
        <w:tc>
          <w:tcPr>
            <w:tcW w:w="3715" w:type="dxa"/>
          </w:tcPr>
          <w:p w:rsidR="003B1236" w:rsidRPr="00B87695" w:rsidRDefault="00854133" w:rsidP="000315B3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247C4" w:rsidRPr="00A96C08" w:rsidRDefault="00B02129" w:rsidP="0006418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C71E2B">
              <w:rPr>
                <w:rFonts w:ascii="Arial" w:hAnsi="Arial" w:cs="Arial"/>
              </w:rPr>
              <w:t xml:space="preserve">o award the contract to </w:t>
            </w:r>
            <w:r w:rsidR="00DE3565">
              <w:rPr>
                <w:rFonts w:ascii="Arial" w:hAnsi="Arial" w:cs="Arial"/>
              </w:rPr>
              <w:t>SMS Environmental</w:t>
            </w:r>
            <w:r>
              <w:rPr>
                <w:rFonts w:ascii="Arial" w:hAnsi="Arial" w:cs="Arial"/>
              </w:rPr>
              <w:t xml:space="preserve"> for the provision of </w:t>
            </w:r>
            <w:r w:rsidR="0006418F">
              <w:rPr>
                <w:rFonts w:ascii="Arial" w:hAnsi="Arial" w:cs="Arial"/>
              </w:rPr>
              <w:t>Legionella control s</w:t>
            </w:r>
            <w:r w:rsidR="0006418F" w:rsidRPr="002B356C">
              <w:rPr>
                <w:rFonts w:ascii="Arial" w:hAnsi="Arial" w:cs="Arial"/>
              </w:rPr>
              <w:t xml:space="preserve">ervices </w:t>
            </w:r>
            <w:r>
              <w:rPr>
                <w:rFonts w:ascii="Arial" w:hAnsi="Arial" w:cs="Arial"/>
              </w:rPr>
              <w:t>following a competitive tender exercise.</w:t>
            </w:r>
          </w:p>
        </w:tc>
      </w:tr>
      <w:tr w:rsidR="00373F5D" w:rsidTr="00E97024">
        <w:tc>
          <w:tcPr>
            <w:tcW w:w="3715" w:type="dxa"/>
          </w:tcPr>
          <w:p w:rsidR="00373F5D" w:rsidRPr="00373F5D" w:rsidRDefault="00373F5D" w:rsidP="000315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:rsidR="00960744" w:rsidRPr="00A96C08" w:rsidRDefault="00D46237" w:rsidP="00BC0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 of c</w:t>
            </w:r>
            <w:r w:rsidRPr="00D46237">
              <w:rPr>
                <w:rFonts w:ascii="Arial" w:hAnsi="Arial" w:cs="Arial"/>
              </w:rPr>
              <w:t xml:space="preserve">ontract to deliver </w:t>
            </w:r>
            <w:r w:rsidR="00BC0EDB">
              <w:rPr>
                <w:rFonts w:ascii="Arial" w:hAnsi="Arial" w:cs="Arial"/>
              </w:rPr>
              <w:t>Legionella Control</w:t>
            </w:r>
            <w:r w:rsidR="00BC0EDB" w:rsidRPr="002B356C">
              <w:rPr>
                <w:rFonts w:ascii="Arial" w:hAnsi="Arial" w:cs="Arial"/>
              </w:rPr>
              <w:t xml:space="preserve"> Services</w:t>
            </w:r>
            <w:r w:rsidRPr="00D46237">
              <w:rPr>
                <w:rFonts w:ascii="Arial" w:hAnsi="Arial" w:cs="Arial"/>
              </w:rPr>
              <w:t xml:space="preserve"> to the Council</w:t>
            </w:r>
            <w:r w:rsidR="00B02129">
              <w:rPr>
                <w:rFonts w:ascii="Arial" w:hAnsi="Arial" w:cs="Arial"/>
              </w:rPr>
              <w:t xml:space="preserve"> for </w:t>
            </w:r>
            <w:r w:rsidR="000315B3">
              <w:rPr>
                <w:rFonts w:ascii="Arial" w:hAnsi="Arial" w:cs="Arial"/>
              </w:rPr>
              <w:t>its h</w:t>
            </w:r>
            <w:r w:rsidR="00BC0EDB">
              <w:rPr>
                <w:rFonts w:ascii="Arial" w:hAnsi="Arial" w:cs="Arial"/>
              </w:rPr>
              <w:t>ousing, offices, parks and pavilion buildings and General Fund properties</w:t>
            </w:r>
            <w:r w:rsidRPr="00D46237">
              <w:rPr>
                <w:rFonts w:ascii="Arial" w:hAnsi="Arial" w:cs="Arial"/>
              </w:rPr>
              <w:t>.</w:t>
            </w:r>
          </w:p>
        </w:tc>
      </w:tr>
      <w:tr w:rsidR="00DC2E8D" w:rsidTr="00E97024">
        <w:tc>
          <w:tcPr>
            <w:tcW w:w="3715" w:type="dxa"/>
          </w:tcPr>
          <w:p w:rsidR="00DC2E8D" w:rsidRPr="008E4629" w:rsidRDefault="008E4629" w:rsidP="000315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:rsidR="00757726" w:rsidRPr="00A96C08" w:rsidRDefault="00BC0EDB" w:rsidP="00757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SMS Environmental </w:t>
            </w:r>
            <w:r w:rsidR="00B02129">
              <w:rPr>
                <w:rFonts w:ascii="Arial" w:hAnsi="Arial" w:cs="Arial"/>
              </w:rPr>
              <w:t xml:space="preserve">was </w:t>
            </w:r>
            <w:r w:rsidR="00B02129" w:rsidRPr="00C71E2B">
              <w:rPr>
                <w:rFonts w:ascii="Arial" w:hAnsi="Arial" w:cs="Arial"/>
              </w:rPr>
              <w:t>assessed as being the most economically advantageous supplier based on cost and quality following a procurement process undertaken in line with the Council’s Constitution and Public Procurement Regulations.</w:t>
            </w:r>
          </w:p>
        </w:tc>
      </w:tr>
      <w:tr w:rsidR="00B87695" w:rsidTr="00E97024">
        <w:tc>
          <w:tcPr>
            <w:tcW w:w="3715" w:type="dxa"/>
          </w:tcPr>
          <w:p w:rsidR="00B87695" w:rsidRPr="00B87695" w:rsidRDefault="00B87695" w:rsidP="000315B3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:rsidR="00E97024" w:rsidRDefault="002B356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Gabriel, Executive Director of Communities and People</w:t>
            </w:r>
          </w:p>
          <w:p w:rsidR="002B356C" w:rsidRDefault="002B356C" w:rsidP="008A22C6">
            <w:pPr>
              <w:rPr>
                <w:rFonts w:ascii="Arial" w:hAnsi="Arial" w:cs="Arial"/>
              </w:rPr>
            </w:pPr>
          </w:p>
          <w:p w:rsidR="002B356C" w:rsidRPr="00A96C08" w:rsidRDefault="002B356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taken in consultation with Nigel Kennedy, Head of Financial Services and Susan Sale, Head of Law and Governance</w:t>
            </w:r>
          </w:p>
        </w:tc>
      </w:tr>
      <w:tr w:rsidR="006F6326" w:rsidTr="00E97024">
        <w:tc>
          <w:tcPr>
            <w:tcW w:w="3715" w:type="dxa"/>
          </w:tcPr>
          <w:p w:rsidR="006F6326" w:rsidRDefault="006F6326" w:rsidP="000315B3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BE1FD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263039" w:rsidRPr="00A96C08" w:rsidRDefault="00133B20" w:rsidP="00BC0ED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Council must maintain its </w:t>
            </w:r>
            <w:r w:rsidR="00BC0EDB">
              <w:rPr>
                <w:rFonts w:ascii="Arial" w:hAnsi="Arial" w:cs="Arial"/>
              </w:rPr>
              <w:t>water systems</w:t>
            </w:r>
            <w:r>
              <w:rPr>
                <w:rFonts w:ascii="Arial" w:hAnsi="Arial" w:cs="Arial"/>
              </w:rPr>
              <w:t xml:space="preserve"> in a serviceable condition </w:t>
            </w:r>
            <w:r w:rsidR="00BC0EDB">
              <w:rPr>
                <w:rFonts w:ascii="Arial" w:hAnsi="Arial" w:cs="Arial"/>
              </w:rPr>
              <w:t xml:space="preserve">to reduce the risk to health </w:t>
            </w:r>
            <w:r>
              <w:rPr>
                <w:rFonts w:ascii="Arial" w:hAnsi="Arial" w:cs="Arial"/>
              </w:rPr>
              <w:t>and so a contract award was necessary. The Council could have used an existing framework rather than tendering</w:t>
            </w:r>
            <w:r w:rsidR="00990607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however</w:t>
            </w:r>
            <w:r w:rsidR="0099060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the </w:t>
            </w:r>
            <w:r w:rsidR="006D2D5B">
              <w:rPr>
                <w:rFonts w:ascii="Arial" w:hAnsi="Arial" w:cs="Arial"/>
              </w:rPr>
              <w:t xml:space="preserve">use of a Council-run open tender using the procurement portal made the process </w:t>
            </w:r>
            <w:r w:rsidR="00F1281F">
              <w:rPr>
                <w:rFonts w:ascii="Arial" w:hAnsi="Arial" w:cs="Arial"/>
              </w:rPr>
              <w:t>available to wider pool of suppliers including local companies</w:t>
            </w:r>
            <w:r w:rsidR="006D2D5B">
              <w:rPr>
                <w:rFonts w:ascii="Arial" w:hAnsi="Arial" w:cs="Arial"/>
              </w:rPr>
              <w:t>.</w:t>
            </w:r>
          </w:p>
        </w:tc>
      </w:tr>
      <w:tr w:rsidR="006F6326" w:rsidTr="00E97024">
        <w:trPr>
          <w:trHeight w:val="1018"/>
        </w:trPr>
        <w:tc>
          <w:tcPr>
            <w:tcW w:w="3715" w:type="dxa"/>
          </w:tcPr>
          <w:p w:rsidR="00C678ED" w:rsidRPr="00C678ED" w:rsidRDefault="006F6326" w:rsidP="000315B3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2B356C" w:rsidP="00BC0EDB">
            <w:pPr>
              <w:rPr>
                <w:rFonts w:ascii="Arial" w:hAnsi="Arial" w:cs="Arial"/>
              </w:rPr>
            </w:pPr>
            <w:r w:rsidRPr="002B356C">
              <w:rPr>
                <w:rFonts w:ascii="Arial" w:hAnsi="Arial" w:cs="Arial"/>
              </w:rPr>
              <w:t xml:space="preserve">Award of Key Service Contract for </w:t>
            </w:r>
            <w:r w:rsidR="00BC0EDB">
              <w:rPr>
                <w:rFonts w:ascii="Arial" w:hAnsi="Arial" w:cs="Arial"/>
              </w:rPr>
              <w:t>Legionella prevention and Control Services</w:t>
            </w:r>
            <w:r>
              <w:rPr>
                <w:rFonts w:ascii="Arial" w:hAnsi="Arial" w:cs="Arial"/>
              </w:rPr>
              <w:t xml:space="preserve"> – </w:t>
            </w:r>
            <w:hyperlink r:id="rId8" w:history="1">
              <w:r w:rsidRPr="000315B3">
                <w:rPr>
                  <w:rStyle w:val="Hyperlink"/>
                  <w:rFonts w:ascii="Arial" w:hAnsi="Arial" w:cs="Arial"/>
                </w:rPr>
                <w:t>report to Cabinet on 9 December 2020</w:t>
              </w:r>
            </w:hyperlink>
          </w:p>
        </w:tc>
      </w:tr>
      <w:tr w:rsidR="006F6326" w:rsidTr="00E97024">
        <w:tc>
          <w:tcPr>
            <w:tcW w:w="3715" w:type="dxa"/>
          </w:tcPr>
          <w:p w:rsidR="003505E0" w:rsidRDefault="003505E0" w:rsidP="000315B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2B356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(value &gt;£500k)</w:t>
            </w:r>
          </w:p>
        </w:tc>
      </w:tr>
      <w:tr w:rsidR="006F6326" w:rsidTr="00E97024">
        <w:tc>
          <w:tcPr>
            <w:tcW w:w="3715" w:type="dxa"/>
          </w:tcPr>
          <w:p w:rsidR="006F6326" w:rsidRPr="008E4629" w:rsidRDefault="006F6326" w:rsidP="000315B3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0315B3">
              <w:rPr>
                <w:rFonts w:ascii="Arial" w:hAnsi="Arial" w:cs="Arial"/>
              </w:rPr>
              <w:t xml:space="preserve"> </w:t>
            </w:r>
            <w:r w:rsidR="008E46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2B356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</w:p>
        </w:tc>
      </w:tr>
      <w:tr w:rsidR="006F6326" w:rsidTr="00E97024">
        <w:tc>
          <w:tcPr>
            <w:tcW w:w="3715" w:type="dxa"/>
          </w:tcPr>
          <w:p w:rsidR="006F6326" w:rsidRPr="006F6326" w:rsidRDefault="006F6326" w:rsidP="000315B3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:rsidR="006F6326" w:rsidRPr="00A96C08" w:rsidRDefault="002B356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B87695" w:rsidTr="00E97024">
        <w:tc>
          <w:tcPr>
            <w:tcW w:w="3715" w:type="dxa"/>
          </w:tcPr>
          <w:p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lastRenderedPageBreak/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:rsidR="00960744" w:rsidRDefault="00947F3B" w:rsidP="00B0212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Ward</w:t>
            </w:r>
          </w:p>
          <w:p w:rsidR="00B02129" w:rsidRDefault="00947F3B" w:rsidP="00B0212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Contracts and Procurement Specialist</w:t>
            </w:r>
          </w:p>
          <w:p w:rsidR="00B02129" w:rsidRPr="00A96C08" w:rsidRDefault="00947F3B" w:rsidP="00DE356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18/02/2022</w:t>
            </w:r>
          </w:p>
        </w:tc>
      </w:tr>
    </w:tbl>
    <w:p w:rsidR="002611EB" w:rsidRDefault="002611EB" w:rsidP="008A22C6"/>
    <w:p w:rsidR="005C60B2" w:rsidRDefault="005C60B2" w:rsidP="008A22C6"/>
    <w:p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:rsidTr="002B356C">
        <w:trPr>
          <w:trHeight w:val="516"/>
        </w:trPr>
        <w:tc>
          <w:tcPr>
            <w:tcW w:w="3403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4536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2B356C">
        <w:trPr>
          <w:trHeight w:val="516"/>
        </w:trPr>
        <w:tc>
          <w:tcPr>
            <w:tcW w:w="3403" w:type="dxa"/>
            <w:vAlign w:val="center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officer with authority to take the decision, either from a Cabinet delegation or in the Constitution. </w:t>
            </w:r>
          </w:p>
        </w:tc>
        <w:tc>
          <w:tcPr>
            <w:tcW w:w="4536" w:type="dxa"/>
            <w:vAlign w:val="center"/>
          </w:tcPr>
          <w:p w:rsidR="005C60B2" w:rsidRDefault="002B356C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Gabriel, Executive Director (Communities and People)</w:t>
            </w:r>
          </w:p>
          <w:p w:rsidR="000315B3" w:rsidRDefault="000315B3" w:rsidP="005C60B2">
            <w:pPr>
              <w:rPr>
                <w:rFonts w:ascii="Arial" w:hAnsi="Arial" w:cs="Arial"/>
              </w:rPr>
            </w:pPr>
          </w:p>
          <w:p w:rsidR="000315B3" w:rsidRPr="005C60B2" w:rsidRDefault="000315B3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3CBB826" wp14:editId="19647973">
                  <wp:extent cx="1914525" cy="8667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5C60B2" w:rsidRPr="005C60B2" w:rsidRDefault="00947F3B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04/02/2022</w:t>
            </w:r>
          </w:p>
        </w:tc>
      </w:tr>
    </w:tbl>
    <w:p w:rsidR="005C60B2" w:rsidRPr="005C60B2" w:rsidRDefault="005C60B2" w:rsidP="005C60B2">
      <w:pPr>
        <w:rPr>
          <w:rFonts w:ascii="Arial" w:hAnsi="Arial" w:cs="Arial"/>
        </w:rPr>
      </w:pPr>
    </w:p>
    <w:p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:rsidTr="005C60B2">
        <w:trPr>
          <w:trHeight w:val="516"/>
        </w:trPr>
        <w:tc>
          <w:tcPr>
            <w:tcW w:w="3403" w:type="dxa"/>
          </w:tcPr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536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:rsidTr="005C60B2">
        <w:trPr>
          <w:trHeight w:val="1161"/>
        </w:trPr>
        <w:tc>
          <w:tcPr>
            <w:tcW w:w="3403" w:type="dxa"/>
          </w:tcPr>
          <w:p w:rsidR="005C60B2" w:rsidRDefault="005C60B2" w:rsidP="005C60B2">
            <w:pPr>
              <w:spacing w:before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Head of Financial Services</w:t>
            </w:r>
          </w:p>
          <w:p w:rsidR="005C60B2" w:rsidRPr="005C60B2" w:rsidRDefault="005C60B2" w:rsidP="005C60B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5C60B2" w:rsidRDefault="002B356C" w:rsidP="002B3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Nigel Kennedy, </w:t>
            </w:r>
            <w:r w:rsidRPr="002B356C">
              <w:rPr>
                <w:rFonts w:ascii="Arial" w:hAnsi="Arial" w:cs="Arial"/>
              </w:rPr>
              <w:t xml:space="preserve">Head of Financial Services </w:t>
            </w:r>
            <w:r>
              <w:rPr>
                <w:rFonts w:ascii="Arial" w:hAnsi="Arial" w:cs="Arial"/>
              </w:rPr>
              <w:t xml:space="preserve"> </w:t>
            </w:r>
          </w:p>
          <w:p w:rsidR="000315B3" w:rsidRDefault="000315B3" w:rsidP="002B356C">
            <w:pPr>
              <w:rPr>
                <w:rFonts w:ascii="Arial" w:hAnsi="Arial" w:cs="Arial"/>
              </w:rPr>
            </w:pPr>
          </w:p>
          <w:p w:rsidR="000315B3" w:rsidRPr="005C60B2" w:rsidRDefault="000315B3" w:rsidP="002B356C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7C3DD590" wp14:editId="6B36DE5C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5C60B2" w:rsidRPr="005C60B2" w:rsidRDefault="00947F3B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01/02/2022</w:t>
            </w:r>
          </w:p>
        </w:tc>
      </w:tr>
      <w:tr w:rsidR="005C60B2" w:rsidRPr="005C60B2" w:rsidTr="005C60B2">
        <w:trPr>
          <w:trHeight w:val="834"/>
        </w:trPr>
        <w:tc>
          <w:tcPr>
            <w:tcW w:w="3403" w:type="dxa"/>
          </w:tcPr>
          <w:p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Head of Law and Governance </w:t>
            </w:r>
          </w:p>
          <w:p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0315B3" w:rsidRDefault="002B356C" w:rsidP="002B3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Susan Sale, </w:t>
            </w:r>
            <w:r w:rsidRPr="002B356C">
              <w:rPr>
                <w:rFonts w:ascii="Arial" w:hAnsi="Arial" w:cs="Arial"/>
              </w:rPr>
              <w:t>Head of Law and Governance</w:t>
            </w:r>
          </w:p>
          <w:p w:rsidR="000315B3" w:rsidRPr="005C60B2" w:rsidRDefault="000315B3" w:rsidP="002B356C">
            <w:pPr>
              <w:rPr>
                <w:rFonts w:ascii="Arial" w:hAnsi="Arial" w:cs="Arial"/>
              </w:rPr>
            </w:pPr>
            <w:r w:rsidRPr="00C64101">
              <w:rPr>
                <w:noProof/>
              </w:rPr>
              <w:drawing>
                <wp:inline distT="0" distB="0" distL="0" distR="0" wp14:anchorId="25DA1736" wp14:editId="3AB946EA">
                  <wp:extent cx="1889924" cy="7849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924" cy="78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5C60B2" w:rsidRPr="005C60B2" w:rsidRDefault="00947F3B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01/02/2022</w:t>
            </w:r>
          </w:p>
        </w:tc>
      </w:tr>
      <w:tr w:rsidR="005C60B2" w:rsidRPr="005C60B2" w:rsidTr="005C60B2">
        <w:trPr>
          <w:trHeight w:val="562"/>
        </w:trPr>
        <w:tc>
          <w:tcPr>
            <w:tcW w:w="3403" w:type="dxa"/>
            <w:vAlign w:val="center"/>
          </w:tcPr>
          <w:p w:rsidR="005C60B2" w:rsidRPr="005C60B2" w:rsidRDefault="000315B3" w:rsidP="000315B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Head of Housing Services</w:t>
            </w:r>
          </w:p>
        </w:tc>
        <w:tc>
          <w:tcPr>
            <w:tcW w:w="4536" w:type="dxa"/>
            <w:vAlign w:val="center"/>
          </w:tcPr>
          <w:p w:rsidR="005C60B2" w:rsidRDefault="000315B3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Clarke, Head of Housing Services</w:t>
            </w:r>
          </w:p>
          <w:p w:rsidR="000315B3" w:rsidRDefault="000315B3" w:rsidP="005C60B2">
            <w:pPr>
              <w:rPr>
                <w:rFonts w:ascii="Arial" w:hAnsi="Arial" w:cs="Arial"/>
              </w:rPr>
            </w:pPr>
          </w:p>
          <w:p w:rsidR="000315B3" w:rsidRPr="005C60B2" w:rsidRDefault="000315B3" w:rsidP="005C60B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BE6F2F5" wp14:editId="76036BC8">
                  <wp:extent cx="1574800" cy="488950"/>
                  <wp:effectExtent l="0" t="0" r="6350" b="6350"/>
                  <wp:docPr id="6" name="Picture 6" descr="cid:image003.jpg@01D77321.2FD17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3.jpg@01D77321.2FD17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5C60B2" w:rsidRPr="005C60B2" w:rsidRDefault="000315B3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01/02/2022</w:t>
            </w:r>
          </w:p>
        </w:tc>
      </w:tr>
    </w:tbl>
    <w:p w:rsidR="005C60B2" w:rsidRPr="005C60B2" w:rsidRDefault="005C60B2" w:rsidP="005C60B2">
      <w:pPr>
        <w:ind w:left="-426"/>
        <w:rPr>
          <w:rFonts w:ascii="Arial" w:hAnsi="Arial" w:cs="Arial"/>
        </w:rPr>
      </w:pPr>
    </w:p>
    <w:p w:rsidR="005C60B2" w:rsidRDefault="005C60B2" w:rsidP="002611EB">
      <w:pPr>
        <w:rPr>
          <w:rFonts w:ascii="Arial" w:hAnsi="Arial" w:cs="Arial"/>
          <w:b/>
        </w:rPr>
      </w:pPr>
    </w:p>
    <w:p w:rsidR="005C60B2" w:rsidRDefault="005C60B2" w:rsidP="002611EB">
      <w:pPr>
        <w:rPr>
          <w:rFonts w:ascii="Arial" w:hAnsi="Arial" w:cs="Arial"/>
          <w:b/>
        </w:rPr>
      </w:pPr>
    </w:p>
    <w:p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4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3" w:rsidRDefault="00D33F83" w:rsidP="00F11FD1">
      <w:r>
        <w:separator/>
      </w:r>
    </w:p>
  </w:endnote>
  <w:endnote w:type="continuationSeparator" w:id="0">
    <w:p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3" w:rsidRDefault="00D33F83" w:rsidP="00F11FD1">
      <w:r>
        <w:separator/>
      </w:r>
    </w:p>
  </w:footnote>
  <w:footnote w:type="continuationSeparator" w:id="0">
    <w:p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315B3"/>
    <w:rsid w:val="000445D4"/>
    <w:rsid w:val="0005774E"/>
    <w:rsid w:val="0006418F"/>
    <w:rsid w:val="0008133A"/>
    <w:rsid w:val="000B4310"/>
    <w:rsid w:val="000F4239"/>
    <w:rsid w:val="00133B20"/>
    <w:rsid w:val="00231385"/>
    <w:rsid w:val="002611EB"/>
    <w:rsid w:val="00263039"/>
    <w:rsid w:val="002A07C9"/>
    <w:rsid w:val="002B356C"/>
    <w:rsid w:val="002B53D4"/>
    <w:rsid w:val="002E61DD"/>
    <w:rsid w:val="00335A9B"/>
    <w:rsid w:val="003505E0"/>
    <w:rsid w:val="003547CD"/>
    <w:rsid w:val="00373F5D"/>
    <w:rsid w:val="00397117"/>
    <w:rsid w:val="003B1236"/>
    <w:rsid w:val="004000D7"/>
    <w:rsid w:val="00405321"/>
    <w:rsid w:val="00424A92"/>
    <w:rsid w:val="004A049B"/>
    <w:rsid w:val="004B1944"/>
    <w:rsid w:val="00504E43"/>
    <w:rsid w:val="00532DF2"/>
    <w:rsid w:val="005C60B2"/>
    <w:rsid w:val="005C6416"/>
    <w:rsid w:val="005E37E4"/>
    <w:rsid w:val="00616F3F"/>
    <w:rsid w:val="006247C4"/>
    <w:rsid w:val="006D2D5B"/>
    <w:rsid w:val="006F6326"/>
    <w:rsid w:val="006F6731"/>
    <w:rsid w:val="007017B8"/>
    <w:rsid w:val="007023AB"/>
    <w:rsid w:val="00757726"/>
    <w:rsid w:val="007908F4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E4629"/>
    <w:rsid w:val="00947F3B"/>
    <w:rsid w:val="00960744"/>
    <w:rsid w:val="00986C99"/>
    <w:rsid w:val="00990607"/>
    <w:rsid w:val="009F048F"/>
    <w:rsid w:val="009F6401"/>
    <w:rsid w:val="00A02ADE"/>
    <w:rsid w:val="00A12928"/>
    <w:rsid w:val="00A253FE"/>
    <w:rsid w:val="00A96C08"/>
    <w:rsid w:val="00AC5899"/>
    <w:rsid w:val="00B02129"/>
    <w:rsid w:val="00B15340"/>
    <w:rsid w:val="00B87695"/>
    <w:rsid w:val="00B928EF"/>
    <w:rsid w:val="00BC0EDB"/>
    <w:rsid w:val="00BD4490"/>
    <w:rsid w:val="00BE1FD4"/>
    <w:rsid w:val="00BF240D"/>
    <w:rsid w:val="00C07F80"/>
    <w:rsid w:val="00C158FD"/>
    <w:rsid w:val="00C251F7"/>
    <w:rsid w:val="00C6130E"/>
    <w:rsid w:val="00C678ED"/>
    <w:rsid w:val="00CB5E4F"/>
    <w:rsid w:val="00CC7F50"/>
    <w:rsid w:val="00CD4BC9"/>
    <w:rsid w:val="00CE6085"/>
    <w:rsid w:val="00D33F83"/>
    <w:rsid w:val="00D46237"/>
    <w:rsid w:val="00D543D9"/>
    <w:rsid w:val="00DB01D4"/>
    <w:rsid w:val="00DC2E8D"/>
    <w:rsid w:val="00DD1A34"/>
    <w:rsid w:val="00DD4885"/>
    <w:rsid w:val="00DD51B2"/>
    <w:rsid w:val="00DE3565"/>
    <w:rsid w:val="00E127E3"/>
    <w:rsid w:val="00E2036C"/>
    <w:rsid w:val="00E20A54"/>
    <w:rsid w:val="00E270E5"/>
    <w:rsid w:val="00E97024"/>
    <w:rsid w:val="00E97F84"/>
    <w:rsid w:val="00F11FD1"/>
    <w:rsid w:val="00F1281F"/>
    <w:rsid w:val="00F64579"/>
    <w:rsid w:val="00FB2FDD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.gov.uk/documents/s57436/Tender%202021-26%20Legionella%20V0.2%20approved.pdf" TargetMode="External"/><Relationship Id="rId13" Type="http://schemas.openxmlformats.org/officeDocument/2006/relationships/image" Target="cid:image003.jpg@01D77321.2FD174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7D68E-78DC-4A9A-AEB8-9B9774CC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32EAE7A2</Template>
  <TotalTime>27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Sarah.Claridge</dc:creator>
  <cp:lastModifiedBy>LUND Emma</cp:lastModifiedBy>
  <cp:revision>5</cp:revision>
  <cp:lastPrinted>2015-07-27T09:35:00Z</cp:lastPrinted>
  <dcterms:created xsi:type="dcterms:W3CDTF">2022-02-02T10:14:00Z</dcterms:created>
  <dcterms:modified xsi:type="dcterms:W3CDTF">2022-02-18T16:12:00Z</dcterms:modified>
</cp:coreProperties>
</file>